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E4E" w:rsidRDefault="00D82E4E" w:rsidP="00D82E4E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12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29/03/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D82E4E" w:rsidRPr="00F74641" w:rsidRDefault="00D82E4E" w:rsidP="00D82E4E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Documentos anexos: </w:t>
      </w:r>
    </w:p>
    <w:p w:rsidR="00D82E4E" w:rsidRDefault="00D82E4E" w:rsidP="00D82E4E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Sin anexos</w:t>
      </w:r>
    </w:p>
    <w:p w:rsidR="00D82E4E" w:rsidRDefault="00D82E4E" w:rsidP="00D82E4E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11:50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 xml:space="preserve">29 de marzo </w:t>
      </w:r>
      <w:r w:rsidRPr="00A258DC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2016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 xml:space="preserve">Presidente Héctor Octavio </w:t>
      </w:r>
      <w:proofErr w:type="spellStart"/>
      <w:r w:rsidRPr="00A258DC">
        <w:rPr>
          <w:rFonts w:ascii="Arial" w:hAnsi="Arial" w:cs="Arial"/>
          <w:sz w:val="24"/>
          <w:szCs w:val="24"/>
        </w:rPr>
        <w:t>Carriedo</w:t>
      </w:r>
      <w:proofErr w:type="spellEnd"/>
      <w:r w:rsidRPr="00A258DC">
        <w:rPr>
          <w:rFonts w:ascii="Arial" w:hAnsi="Arial" w:cs="Arial"/>
          <w:sz w:val="24"/>
          <w:szCs w:val="24"/>
        </w:rPr>
        <w:t xml:space="preserve">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D82E4E" w:rsidRPr="00F74641" w:rsidRDefault="00D82E4E" w:rsidP="00D82E4E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D82E4E" w:rsidRPr="00F5153A" w:rsidRDefault="00D82E4E" w:rsidP="00D82E4E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F5153A">
        <w:rPr>
          <w:rFonts w:ascii="Arial" w:hAnsi="Arial" w:cs="Arial"/>
          <w:b/>
          <w:sz w:val="24"/>
          <w:szCs w:val="24"/>
        </w:rPr>
        <w:t>ORDEN DEL DÍA:</w:t>
      </w:r>
    </w:p>
    <w:p w:rsidR="00D82E4E" w:rsidRPr="00F74641" w:rsidRDefault="00D82E4E" w:rsidP="00D82E4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D82E4E" w:rsidRPr="00F74641" w:rsidRDefault="00D82E4E" w:rsidP="00D82E4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D82E4E" w:rsidRDefault="00D82E4E" w:rsidP="00D82E4E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</w:p>
    <w:p w:rsidR="00D82E4E" w:rsidRPr="00D82E4E" w:rsidRDefault="00D82E4E" w:rsidP="00D82E4E">
      <w:pPr>
        <w:ind w:left="708"/>
        <w:jc w:val="both"/>
        <w:rPr>
          <w:rFonts w:ascii="Arial" w:hAnsi="Arial" w:cs="Arial"/>
          <w:sz w:val="24"/>
          <w:szCs w:val="24"/>
        </w:rPr>
      </w:pPr>
      <w:r w:rsidRPr="00D82E4E">
        <w:rPr>
          <w:rFonts w:ascii="Arial" w:hAnsi="Arial" w:cs="Arial"/>
          <w:b/>
          <w:sz w:val="24"/>
          <w:szCs w:val="24"/>
        </w:rPr>
        <w:t>3.1.-</w:t>
      </w:r>
      <w:r w:rsidRPr="00D82E4E">
        <w:rPr>
          <w:rFonts w:ascii="Arial" w:hAnsi="Arial" w:cs="Arial"/>
          <w:sz w:val="24"/>
          <w:szCs w:val="24"/>
        </w:rPr>
        <w:t xml:space="preserve"> Revisión y en su caso aprobación, de la Iniciativa de Ley de Transparencia y Acceso a la Información Pública del Estado de Durango, con fundamento en el artículo 130, fracción I, de la Constitución Política del Estado Libre y Soberano de Durango. </w:t>
      </w:r>
    </w:p>
    <w:p w:rsidR="00D82E4E" w:rsidRPr="004D5E43" w:rsidRDefault="00D82E4E" w:rsidP="00D82E4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D5E43">
        <w:rPr>
          <w:rFonts w:ascii="Arial" w:hAnsi="Arial" w:cs="Arial"/>
          <w:b/>
          <w:sz w:val="24"/>
          <w:szCs w:val="24"/>
        </w:rPr>
        <w:t>4.</w:t>
      </w:r>
      <w:r w:rsidRPr="004D5E43">
        <w:rPr>
          <w:rFonts w:ascii="Arial" w:hAnsi="Arial" w:cs="Arial"/>
          <w:sz w:val="24"/>
          <w:szCs w:val="24"/>
        </w:rPr>
        <w:t>- Clausura de la Sesión.</w:t>
      </w:r>
    </w:p>
    <w:p w:rsidR="00D82E4E" w:rsidRPr="0051697C" w:rsidRDefault="00D82E4E" w:rsidP="00D82E4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t>DESARROLLO DE LA SESION Y ACUERDOS:</w:t>
      </w:r>
    </w:p>
    <w:p w:rsidR="00D82E4E" w:rsidRPr="002E0C22" w:rsidRDefault="00D82E4E" w:rsidP="00D82E4E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EXT.12/29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D82E4E" w:rsidRPr="009532F3" w:rsidRDefault="00D82E4E" w:rsidP="00D82E4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EXT.12/29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03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D82E4E" w:rsidRDefault="00D82E4E" w:rsidP="00D82E4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  <w:r>
        <w:rPr>
          <w:rFonts w:ascii="Arial" w:hAnsi="Arial" w:cs="Arial"/>
          <w:sz w:val="24"/>
          <w:szCs w:val="24"/>
        </w:rPr>
        <w:tab/>
      </w:r>
    </w:p>
    <w:p w:rsidR="00D82E4E" w:rsidRPr="00214CB4" w:rsidRDefault="00D82E4E" w:rsidP="00D82E4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F41" w:rsidRDefault="00D82E4E" w:rsidP="00684F41">
      <w:pPr>
        <w:jc w:val="both"/>
        <w:rPr>
          <w:rFonts w:ascii="Arial" w:hAnsi="Arial" w:cs="Arial"/>
          <w:sz w:val="24"/>
          <w:szCs w:val="24"/>
        </w:rPr>
      </w:pPr>
      <w:r w:rsidRPr="0062468C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4B79A9">
        <w:rPr>
          <w:rFonts w:ascii="Arial" w:hAnsi="Arial" w:cs="Arial"/>
          <w:sz w:val="24"/>
          <w:szCs w:val="24"/>
        </w:rPr>
        <w:t xml:space="preserve">Expone el Comisionado Presidente HOCS, que es trascendente para el IDAIP la presentación de la Iniciativa de Ley de Transparencia y Acceso a la Información Pública del Estado de Durango, la </w:t>
      </w:r>
      <w:r w:rsidR="00684F41">
        <w:rPr>
          <w:rFonts w:ascii="Arial" w:hAnsi="Arial" w:cs="Arial"/>
          <w:sz w:val="24"/>
          <w:szCs w:val="24"/>
        </w:rPr>
        <w:t>cual</w:t>
      </w:r>
      <w:r w:rsidR="00874B24">
        <w:rPr>
          <w:rFonts w:ascii="Arial" w:hAnsi="Arial" w:cs="Arial"/>
          <w:sz w:val="24"/>
          <w:szCs w:val="24"/>
        </w:rPr>
        <w:t>,</w:t>
      </w:r>
      <w:r w:rsidR="00684F41">
        <w:rPr>
          <w:rFonts w:ascii="Arial" w:hAnsi="Arial" w:cs="Arial"/>
          <w:sz w:val="24"/>
          <w:szCs w:val="24"/>
        </w:rPr>
        <w:t xml:space="preserve"> de aprobarse por este Consejo General, se presentará ante el H. Congreso del Estado de Durango. Lo anterior, con fundamento en lo dispuesto por el artículo 130, fracción I de la Constitución Política del Estado Libre y Soberano de Durango.</w:t>
      </w:r>
    </w:p>
    <w:p w:rsidR="00684F41" w:rsidRDefault="00684F41" w:rsidP="00684F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tal sentido, el proyecto de iniciativa que se analiza tiene por objeto armonizar el contenido de la Ley Estatal con la Ley General de Transparencia y Acceso a la Información Pública</w:t>
      </w:r>
      <w:r w:rsidR="00B80314">
        <w:rPr>
          <w:rFonts w:ascii="Arial" w:hAnsi="Arial" w:cs="Arial"/>
          <w:sz w:val="24"/>
          <w:szCs w:val="24"/>
        </w:rPr>
        <w:t>, tal como lo establece el Artículo Quinto Transitorio de la misma.</w:t>
      </w:r>
    </w:p>
    <w:p w:rsidR="00874B24" w:rsidRDefault="00B80314" w:rsidP="00684F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Expone </w:t>
      </w:r>
      <w:r w:rsidR="00874B24">
        <w:rPr>
          <w:rFonts w:ascii="Arial" w:hAnsi="Arial" w:cs="Arial"/>
          <w:sz w:val="24"/>
          <w:szCs w:val="24"/>
        </w:rPr>
        <w:t>el Comisionado Presidente HOCS, que el documento que se presenta, es resultado de un trabajo de análisis, revisión y propuestas al interior del Instituto, y propone que en la presente sesión se exponga la estructura de la Iniciativa y los aspectos destacados de la misma.</w:t>
      </w:r>
    </w:p>
    <w:p w:rsidR="004E5F6E" w:rsidRDefault="004E5F6E" w:rsidP="004E5F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 contenido de la iniciativa que se revisa, es importante destacar </w:t>
      </w:r>
      <w:r>
        <w:rPr>
          <w:rFonts w:ascii="Arial" w:hAnsi="Arial" w:cs="Arial"/>
          <w:sz w:val="24"/>
          <w:szCs w:val="24"/>
        </w:rPr>
        <w:t>los siguientes aspectos</w:t>
      </w:r>
      <w:r>
        <w:rPr>
          <w:rFonts w:ascii="Arial" w:hAnsi="Arial" w:cs="Arial"/>
          <w:sz w:val="24"/>
          <w:szCs w:val="24"/>
        </w:rPr>
        <w:t>: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establece un apartado específico de objetivos de la Ley, que destacan entre otros: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Establecer la competencia del órgano garante, en materia de transparencia y acceso a la información;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Constituir las bases que regirán los procedimientos para garantizar el ejercicio del derecho de acceso a la información, para que sean sencillos y expeditos;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Disponer las bases y la información de interés público que se debe difundir proactivamente;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Promover, fomentar y difundir la cultura de la transparencia en el ejercicio de la función pública, el acceso a la información, la participación ciudadana, así como la rendición de cuentas, a través del establecimiento de políticas públicas y mecanismos que garanticen la publicidad de información oportuna, verificable, comprensible, actualizada y completa, que se difunda en los formatos adecuados y accesibles para todo el público y atendiendo en todo momento las condiciones sociales, económicas y culturales de cada región;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Regular la coordinación y participación del órgano garante estatal en el Sistema Nacional de Transparencia, Acceso a la Información y Protección de Datos Personales; y </w:t>
      </w:r>
    </w:p>
    <w:p w:rsidR="004E5F6E" w:rsidRDefault="004E5F6E" w:rsidP="004E5F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Determinar los mecanismos para garantizar el cumplimiento y la efectiva aplicación de las medidas de apremio y las sanciones que correspondan.</w:t>
      </w:r>
    </w:p>
    <w:p w:rsidR="001A4861" w:rsidRDefault="001A4861" w:rsidP="001A486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incorporan definiciones, con el propósito de fijar un lenguaje homogéneo con la Ley general, tales como: Sistema Nacional de Transparencia, Plataforma Nacional, Unidad de Transparencia, Comité de Información,  servidor público, formatos abiertos, datos abiertos, entre otros.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aplicación e interpretación de la Ley, se contemplan disposiciones que garantizan el ejercicio del derecho de acceso a la información en igualdad de condiciones, sin discriminación, en lenguaje sencillo y supliendo cualquier deficiencia.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integran como sujetos obligados de la Ley, los fideicomisos y fondos públicos, así como cualquier persona física, moral o sindicato que reciba y ejerza recursos públicos o realice actos de autoridad en el Estado. 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propone un procedimiento público, abierto y con criterio de igualdad de género para la selección de los Comisionados que integran el órgano garante estatal.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establece la figura del Consejo Consultivo del órgano garante, como un </w:t>
      </w:r>
      <w:r>
        <w:rPr>
          <w:rFonts w:ascii="Arial" w:hAnsi="Arial" w:cs="Arial"/>
          <w:color w:val="000000" w:themeColor="text1"/>
          <w:sz w:val="24"/>
          <w:szCs w:val="24"/>
          <w:lang w:val="es-ES_tradnl"/>
        </w:rPr>
        <w:t>órgano de consulta y asesoría en la planeación, orientación, sistematización y promoción de las actividades relacionadas con la transparencia y acceso a la información pública que emprenda el Instituto.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Determina lo relativo a las Unidades de Transparencia y Comités de Transparencia de los sujetos obligados, como estructuras fundamentales en el cumplimiento de las obligaciones que impone la Ley.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Contempla obligaciones de transparencia comunes para todos los sujetos obligados y especificas conforme a sus atribuciones, con un catálogo ampliado de información que debe difundirse y actualizarse mensualmente.</w:t>
      </w:r>
    </w:p>
    <w:p w:rsidR="004E5F6E" w:rsidRDefault="004E5F6E" w:rsidP="004E5F6E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contexto, se considera un procedimiento específico que permite a las personas, presentar denuncias ante el Instituto, derivadas del incumplimiento a las obligaciones de transparencia en que puedan incurrir los sujetos obligados.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establece un apartado relativo a la implementación de políticas de transparencia proactiva, que incentiva la publicación de información adicional y de interés general para la sociedad.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propone reducir el periodo máximo de reserva de la información, de 12 a 5 años, en congruencia con lo dispuesto en la Ley General. 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dispone la implementación de mecanismos de colaboración y apertura gubernamental, entre la sociedad y los sujetos obligados bajo un esquema de Gobierno Abierto.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homologa el procedimiento de acceso a la información conforme a la Ley General, sin embargo, se conserva el plazo de 15 días hábiles para otorgar respuesta a las solicitudes de información, el cual garantiza una mayor celeridad en la atención de las mismas.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concordancia con el punto anterior, se incorpora la obligación para el órgano garante estatal de implementar, en conjunto con el Sistema Nacional de Transparencia, la plataforma electrónica denominada: Plataforma Nacional de Transparencia, que permita cumplir con los procedimientos, obligaciones y disposiciones señaladas en la Ley, atendiendo a las necesidades de accesibilidad de los usuarios, conformada por los siguientes sistemas:</w:t>
      </w:r>
    </w:p>
    <w:p w:rsidR="001A4861" w:rsidRDefault="001A4861" w:rsidP="001A4861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4E5F6E" w:rsidRDefault="004E5F6E" w:rsidP="004E5F6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solicitudes de acceso a la información;</w:t>
      </w:r>
    </w:p>
    <w:p w:rsidR="004E5F6E" w:rsidRDefault="004E5F6E" w:rsidP="004E5F6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gestión de medios de impugnación;</w:t>
      </w:r>
    </w:p>
    <w:p w:rsidR="004E5F6E" w:rsidRDefault="004E5F6E" w:rsidP="004E5F6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portales de obligaciones de transparencia; y</w:t>
      </w:r>
    </w:p>
    <w:p w:rsidR="004E5F6E" w:rsidRDefault="004E5F6E" w:rsidP="004E5F6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comunicación entre organismos garantes y sujetos obligados.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prevé el recurso de revisión, como medio de impugnación en contra de las respuestas proporcionadas por los sujetos obligados a los particulares, el cual podrá interponerse tanto en la Unidad de Transparencia que corresponda como ante el Instituto.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indica que los solicitantes de información, podrán optar por interponer el recurso de inconformidad en contra de las resoluciones que emita el Instituto, ante el INAI o ante el Poder Judicial de la Federación. </w:t>
      </w:r>
    </w:p>
    <w:p w:rsidR="004E5F6E" w:rsidRDefault="004E5F6E" w:rsidP="004E5F6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armoniza el apartado relativo a las medidas de apremio y sanciones, conforme a lo dispuesto por la Ley General, a fin de facultar al Instituto para imponer al servidor público encargado de acatar la resolución, o a los miembros de los sindicatos, partidos políticos o las personas físicas o morales responsables, las medidas de apremio que aseguren el cumplimiento de sus resoluciones.</w:t>
      </w:r>
    </w:p>
    <w:p w:rsidR="004E5F6E" w:rsidRDefault="004E5F6E" w:rsidP="004E5F6E">
      <w:pPr>
        <w:pStyle w:val="Prrafodelista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Asimismo, se dispone la imputación de sanciones derivadas del incumplimiento a las obligaciones establecidas en la Ley, que van desde la amonestación hasta la aplicación de multas, las cuales expresamente se determina que no podrán ser cubiertas con recursos públicos y que el Instituto, estará facultado para denunciar ante las autoridades competentes cualquier acto u omisión violatorio de la Ley.</w:t>
      </w:r>
    </w:p>
    <w:p w:rsidR="004E5F6E" w:rsidRDefault="004E5F6E" w:rsidP="00684F41">
      <w:pPr>
        <w:jc w:val="both"/>
        <w:rPr>
          <w:rFonts w:ascii="Arial" w:hAnsi="Arial" w:cs="Arial"/>
          <w:sz w:val="24"/>
          <w:szCs w:val="24"/>
        </w:rPr>
      </w:pPr>
    </w:p>
    <w:p w:rsidR="00A53B82" w:rsidRDefault="004E5F6E" w:rsidP="00684F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atención a lo expuesto, una vez que los Comisionados expresaron sus comentarios respecto del contenido y alcance de la propuesta que se analiza, el Comisionado Presidente </w:t>
      </w:r>
      <w:r w:rsidR="005A430D">
        <w:rPr>
          <w:rFonts w:ascii="Arial" w:hAnsi="Arial" w:cs="Arial"/>
          <w:sz w:val="24"/>
          <w:szCs w:val="24"/>
        </w:rPr>
        <w:t xml:space="preserve">HOCS, </w:t>
      </w:r>
      <w:r>
        <w:rPr>
          <w:rFonts w:ascii="Arial" w:hAnsi="Arial" w:cs="Arial"/>
          <w:sz w:val="24"/>
          <w:szCs w:val="24"/>
        </w:rPr>
        <w:t xml:space="preserve">somete a la consideración del Consejo General </w:t>
      </w:r>
      <w:r w:rsidR="005A43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Iniciativa de Ley que se revisa.</w:t>
      </w:r>
    </w:p>
    <w:p w:rsidR="005A430D" w:rsidRDefault="005A430D" w:rsidP="004E5F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4E5F6E">
        <w:rPr>
          <w:rFonts w:ascii="Arial" w:hAnsi="Arial" w:cs="Arial"/>
          <w:sz w:val="24"/>
          <w:szCs w:val="24"/>
        </w:rPr>
        <w:t xml:space="preserve">n tal sentido, los Comisionados aprueban por unanimidad la Iniciativa de Ley de Transparencia y Acceso a la Información Pública del Estado de Durango; la cual, se prevé entregar ante el H. Congreso del Estado el día de mañana, </w:t>
      </w:r>
      <w:r>
        <w:rPr>
          <w:rFonts w:ascii="Arial" w:hAnsi="Arial" w:cs="Arial"/>
          <w:sz w:val="24"/>
          <w:szCs w:val="24"/>
        </w:rPr>
        <w:t>30 de marzo</w:t>
      </w:r>
      <w:r w:rsidR="004E5F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a las 11</w:t>
      </w:r>
      <w:r w:rsidR="004E5F6E">
        <w:rPr>
          <w:rFonts w:ascii="Arial" w:hAnsi="Arial" w:cs="Arial"/>
          <w:sz w:val="24"/>
          <w:szCs w:val="24"/>
        </w:rPr>
        <w:t xml:space="preserve">:00 horas, con lo cual </w:t>
      </w:r>
      <w:r w:rsidR="001A4861">
        <w:rPr>
          <w:rFonts w:ascii="Arial" w:hAnsi="Arial" w:cs="Arial"/>
          <w:sz w:val="24"/>
          <w:szCs w:val="24"/>
        </w:rPr>
        <w:t xml:space="preserve">el IDAIP ejerce nuevamente la facultad que le otorga el artículo 130, fracción I, de la Constitución Política del Estado Libre y Soberano de Durango. </w:t>
      </w:r>
      <w:r w:rsidR="001A4861" w:rsidRPr="00C174D5">
        <w:rPr>
          <w:rFonts w:ascii="Arial" w:hAnsi="Arial" w:cs="Arial"/>
          <w:b/>
          <w:sz w:val="24"/>
          <w:szCs w:val="24"/>
        </w:rPr>
        <w:t>ACT.</w:t>
      </w:r>
      <w:r w:rsidR="001A4861">
        <w:rPr>
          <w:rFonts w:ascii="Arial" w:hAnsi="Arial" w:cs="Arial"/>
          <w:b/>
          <w:sz w:val="24"/>
          <w:szCs w:val="24"/>
        </w:rPr>
        <w:t>EXT.12/29</w:t>
      </w:r>
      <w:r w:rsidR="001A4861" w:rsidRPr="00C174D5">
        <w:rPr>
          <w:rFonts w:ascii="Arial" w:hAnsi="Arial" w:cs="Arial"/>
          <w:b/>
          <w:sz w:val="24"/>
          <w:szCs w:val="24"/>
        </w:rPr>
        <w:t>/</w:t>
      </w:r>
      <w:r w:rsidR="001A4861">
        <w:rPr>
          <w:rFonts w:ascii="Arial" w:hAnsi="Arial" w:cs="Arial"/>
          <w:b/>
          <w:sz w:val="24"/>
          <w:szCs w:val="24"/>
        </w:rPr>
        <w:t>03</w:t>
      </w:r>
      <w:r w:rsidR="001A4861" w:rsidRPr="00C174D5">
        <w:rPr>
          <w:rFonts w:ascii="Arial" w:hAnsi="Arial" w:cs="Arial"/>
          <w:b/>
          <w:sz w:val="24"/>
          <w:szCs w:val="24"/>
        </w:rPr>
        <w:t>/20</w:t>
      </w:r>
      <w:r w:rsidR="001A4861">
        <w:rPr>
          <w:rFonts w:ascii="Arial" w:hAnsi="Arial" w:cs="Arial"/>
          <w:b/>
          <w:sz w:val="24"/>
          <w:szCs w:val="24"/>
        </w:rPr>
        <w:t>16.03</w:t>
      </w:r>
    </w:p>
    <w:p w:rsidR="001A4861" w:rsidRDefault="001A4861" w:rsidP="004E5F6E">
      <w:pPr>
        <w:jc w:val="both"/>
        <w:rPr>
          <w:rFonts w:ascii="Arial" w:hAnsi="Arial" w:cs="Arial"/>
          <w:sz w:val="24"/>
          <w:szCs w:val="24"/>
        </w:rPr>
      </w:pPr>
    </w:p>
    <w:p w:rsidR="001A4861" w:rsidRDefault="001A4861" w:rsidP="004E5F6E">
      <w:pPr>
        <w:jc w:val="both"/>
        <w:rPr>
          <w:rFonts w:ascii="Arial" w:hAnsi="Arial" w:cs="Arial"/>
          <w:sz w:val="24"/>
          <w:szCs w:val="24"/>
        </w:rPr>
      </w:pPr>
    </w:p>
    <w:p w:rsidR="00D82E4E" w:rsidRPr="006C2E15" w:rsidRDefault="00D82E4E" w:rsidP="00D82E4E">
      <w:pPr>
        <w:jc w:val="both"/>
        <w:rPr>
          <w:rFonts w:ascii="Arial" w:hAnsi="Arial" w:cs="Arial"/>
          <w:sz w:val="24"/>
          <w:szCs w:val="24"/>
        </w:rPr>
      </w:pPr>
      <w:r w:rsidRPr="00445830">
        <w:rPr>
          <w:rFonts w:ascii="Arial" w:hAnsi="Arial" w:cs="Arial"/>
          <w:b/>
          <w:sz w:val="24"/>
          <w:szCs w:val="24"/>
        </w:rPr>
        <w:lastRenderedPageBreak/>
        <w:t xml:space="preserve">4.- </w:t>
      </w:r>
      <w:r>
        <w:rPr>
          <w:rFonts w:ascii="Arial" w:hAnsi="Arial" w:cs="Arial"/>
          <w:sz w:val="24"/>
          <w:szCs w:val="24"/>
        </w:rPr>
        <w:t>Clausura de la sesión.</w:t>
      </w: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Desahogados los puntos señalados, declarando válidos y legales los acuerdos alcanzados, </w:t>
      </w:r>
      <w:r w:rsidRPr="00AF1052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 xml:space="preserve">12:15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>,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29 de marzo de 2016., </w:t>
      </w:r>
      <w:r w:rsidRPr="00AF1052">
        <w:rPr>
          <w:rFonts w:ascii="Arial" w:hAnsi="Arial" w:cs="Arial"/>
          <w:sz w:val="24"/>
          <w:szCs w:val="24"/>
        </w:rPr>
        <w:t xml:space="preserve">se levanta la </w:t>
      </w:r>
      <w:r>
        <w:rPr>
          <w:rFonts w:ascii="Arial" w:hAnsi="Arial" w:cs="Arial"/>
          <w:sz w:val="24"/>
          <w:szCs w:val="24"/>
        </w:rPr>
        <w:t xml:space="preserve">décima segunda 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General.</w:t>
      </w: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1A4861" w:rsidRDefault="001A4861" w:rsidP="00D82E4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</w:t>
      </w:r>
      <w:proofErr w:type="spellStart"/>
      <w:r>
        <w:rPr>
          <w:rFonts w:ascii="Arial" w:hAnsi="Arial" w:cs="Arial"/>
          <w:b/>
          <w:sz w:val="24"/>
          <w:szCs w:val="24"/>
        </w:rPr>
        <w:t>Carriedo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Sáenz </w:t>
      </w:r>
    </w:p>
    <w:p w:rsidR="00D82E4E" w:rsidRPr="00070791" w:rsidRDefault="00D82E4E" w:rsidP="00D82E4E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D82E4E" w:rsidRDefault="00D82E4E" w:rsidP="00D82E4E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D82E4E" w:rsidRDefault="00D82E4E" w:rsidP="00D82E4E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Comisionada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Comisionado  </w:t>
      </w:r>
    </w:p>
    <w:p w:rsidR="00D82E4E" w:rsidRDefault="00D82E4E" w:rsidP="00D82E4E">
      <w:pPr>
        <w:contextualSpacing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contextualSpacing/>
        <w:rPr>
          <w:rFonts w:ascii="Arial" w:hAnsi="Arial" w:cs="Arial"/>
          <w:sz w:val="16"/>
          <w:szCs w:val="16"/>
        </w:rPr>
      </w:pPr>
    </w:p>
    <w:p w:rsidR="00D82E4E" w:rsidRDefault="00D82E4E" w:rsidP="00D82E4E">
      <w:pPr>
        <w:contextualSpacing/>
        <w:rPr>
          <w:rFonts w:ascii="Arial" w:hAnsi="Arial" w:cs="Arial"/>
          <w:sz w:val="16"/>
          <w:szCs w:val="16"/>
        </w:rPr>
      </w:pPr>
    </w:p>
    <w:p w:rsidR="00D82E4E" w:rsidRPr="00397D0D" w:rsidRDefault="00D82E4E" w:rsidP="00D82E4E">
      <w:pPr>
        <w:contextualSpacing/>
        <w:rPr>
          <w:rFonts w:ascii="Arial" w:hAnsi="Arial" w:cs="Arial"/>
          <w:sz w:val="16"/>
          <w:szCs w:val="16"/>
        </w:rPr>
      </w:pPr>
    </w:p>
    <w:p w:rsidR="00D82E4E" w:rsidRDefault="00D82E4E" w:rsidP="00D82E4E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D82E4E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82E4E" w:rsidRPr="00C84C3C" w:rsidRDefault="00D82E4E" w:rsidP="00D82E4E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D82E4E" w:rsidRPr="008A7C61" w:rsidRDefault="00D82E4E" w:rsidP="00D82E4E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p w:rsidR="005A430D" w:rsidRDefault="005A430D">
      <w:pPr>
        <w:rPr>
          <w:rFonts w:ascii="Arial" w:hAnsi="Arial" w:cs="Arial"/>
          <w:sz w:val="24"/>
          <w:szCs w:val="24"/>
        </w:rPr>
      </w:pPr>
    </w:p>
    <w:p w:rsidR="005A430D" w:rsidRPr="00A53B82" w:rsidRDefault="005A430D">
      <w:pPr>
        <w:rPr>
          <w:rFonts w:ascii="Arial" w:hAnsi="Arial" w:cs="Arial"/>
          <w:sz w:val="24"/>
          <w:szCs w:val="24"/>
        </w:rPr>
      </w:pPr>
    </w:p>
    <w:sectPr w:rsidR="005A430D" w:rsidRPr="00A53B8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E4E" w:rsidRDefault="00D82E4E" w:rsidP="00D82E4E">
      <w:pPr>
        <w:spacing w:after="0" w:line="240" w:lineRule="auto"/>
      </w:pPr>
      <w:r>
        <w:separator/>
      </w:r>
    </w:p>
  </w:endnote>
  <w:endnote w:type="continuationSeparator" w:id="0">
    <w:p w:rsidR="00D82E4E" w:rsidRDefault="00D82E4E" w:rsidP="00D82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9382611"/>
      <w:docPartObj>
        <w:docPartGallery w:val="Page Numbers (Bottom of Page)"/>
        <w:docPartUnique/>
      </w:docPartObj>
    </w:sdtPr>
    <w:sdtContent>
      <w:p w:rsidR="001A4861" w:rsidRDefault="001A48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B03" w:rsidRPr="000A3B03">
          <w:rPr>
            <w:noProof/>
            <w:lang w:val="es-ES"/>
          </w:rPr>
          <w:t>5</w:t>
        </w:r>
        <w:r>
          <w:fldChar w:fldCharType="end"/>
        </w:r>
      </w:p>
    </w:sdtContent>
  </w:sdt>
  <w:p w:rsidR="001A4861" w:rsidRDefault="001A48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E4E" w:rsidRDefault="00D82E4E" w:rsidP="00D82E4E">
      <w:pPr>
        <w:spacing w:after="0" w:line="240" w:lineRule="auto"/>
      </w:pPr>
      <w:r>
        <w:separator/>
      </w:r>
    </w:p>
  </w:footnote>
  <w:footnote w:type="continuationSeparator" w:id="0">
    <w:p w:rsidR="00D82E4E" w:rsidRDefault="00D82E4E" w:rsidP="00D82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E4E" w:rsidRPr="00E008CB" w:rsidRDefault="00D82E4E" w:rsidP="00D82E4E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7538F4F2" wp14:editId="2519D83C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D82E4E" w:rsidRPr="003B7076" w:rsidRDefault="00D82E4E" w:rsidP="00D82E4E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D82E4E" w:rsidRPr="00F74641" w:rsidRDefault="00D82E4E" w:rsidP="00D82E4E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D82E4E" w:rsidRPr="00F74641" w:rsidRDefault="00D82E4E" w:rsidP="00D82E4E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D82E4E" w:rsidRDefault="00D82E4E" w:rsidP="00D82E4E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29 </w:t>
    </w:r>
    <w:r w:rsidRPr="00F74641">
      <w:rPr>
        <w:rFonts w:ascii="Arial" w:hAnsi="Arial" w:cs="Arial"/>
        <w:b/>
        <w:sz w:val="24"/>
        <w:szCs w:val="24"/>
      </w:rPr>
      <w:t xml:space="preserve">DE </w:t>
    </w:r>
    <w:r>
      <w:rPr>
        <w:rFonts w:ascii="Arial" w:hAnsi="Arial" w:cs="Arial"/>
        <w:b/>
        <w:sz w:val="24"/>
        <w:szCs w:val="24"/>
      </w:rPr>
      <w:t xml:space="preserve">MARZO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D82E4E" w:rsidRDefault="00D82E4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21012"/>
    <w:multiLevelType w:val="hybridMultilevel"/>
    <w:tmpl w:val="9E047A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4068"/>
    <w:multiLevelType w:val="hybridMultilevel"/>
    <w:tmpl w:val="D068ACAA"/>
    <w:lvl w:ilvl="0" w:tplc="4B42906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82"/>
    <w:rsid w:val="000A3B03"/>
    <w:rsid w:val="001A4861"/>
    <w:rsid w:val="004333BA"/>
    <w:rsid w:val="004B79A9"/>
    <w:rsid w:val="004E5F6E"/>
    <w:rsid w:val="0057163F"/>
    <w:rsid w:val="005A430D"/>
    <w:rsid w:val="005A57C0"/>
    <w:rsid w:val="00684F41"/>
    <w:rsid w:val="00874B24"/>
    <w:rsid w:val="00875FD5"/>
    <w:rsid w:val="008E7812"/>
    <w:rsid w:val="00927761"/>
    <w:rsid w:val="009F7EEC"/>
    <w:rsid w:val="00A53B82"/>
    <w:rsid w:val="00B80314"/>
    <w:rsid w:val="00CF576F"/>
    <w:rsid w:val="00D8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61D60C-6B8B-4996-9B03-1469FDC5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D82E4E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2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E4E"/>
  </w:style>
  <w:style w:type="paragraph" w:styleId="Piedepgina">
    <w:name w:val="footer"/>
    <w:basedOn w:val="Normal"/>
    <w:link w:val="PiedepginaCar"/>
    <w:uiPriority w:val="99"/>
    <w:unhideWhenUsed/>
    <w:rsid w:val="00D82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E4E"/>
  </w:style>
  <w:style w:type="character" w:customStyle="1" w:styleId="Ttulo1Car">
    <w:name w:val="Título 1 Car"/>
    <w:aliases w:val="Eva 1 Car"/>
    <w:basedOn w:val="Fuentedeprrafopredeter"/>
    <w:link w:val="Ttulo1"/>
    <w:rsid w:val="00D82E4E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E5F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3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1504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5</cp:revision>
  <cp:lastPrinted>2016-05-31T14:35:00Z</cp:lastPrinted>
  <dcterms:created xsi:type="dcterms:W3CDTF">2016-03-29T17:29:00Z</dcterms:created>
  <dcterms:modified xsi:type="dcterms:W3CDTF">2016-05-31T14:46:00Z</dcterms:modified>
</cp:coreProperties>
</file>